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9"/>
        <w:gridCol w:w="1417"/>
        <w:gridCol w:w="1288"/>
        <w:gridCol w:w="1405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B16F0A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Пеновского района </w:t>
            </w:r>
            <w:r>
              <w:rPr>
                <w:rFonts w:ascii="Times New Roman" w:hAnsi="Times New Roman"/>
              </w:rPr>
              <w:t xml:space="preserve"> Тверской области         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 </w:t>
            </w:r>
            <w:r w:rsidR="00FB1FE1">
              <w:rPr>
                <w:rFonts w:ascii="Times New Roman" w:hAnsi="Times New Roman"/>
              </w:rPr>
              <w:t>____</w:t>
            </w:r>
            <w:r w:rsidR="00BC225D" w:rsidRPr="00BC225D">
              <w:rPr>
                <w:rFonts w:ascii="Times New Roman" w:hAnsi="Times New Roman"/>
              </w:rPr>
              <w:t>.1</w:t>
            </w:r>
            <w:r w:rsidR="00742E94">
              <w:rPr>
                <w:rFonts w:ascii="Times New Roman" w:hAnsi="Times New Roman"/>
              </w:rPr>
              <w:t>0</w:t>
            </w:r>
            <w:r w:rsidR="00BC225D" w:rsidRPr="00BC225D">
              <w:rPr>
                <w:rFonts w:ascii="Times New Roman" w:hAnsi="Times New Roman"/>
              </w:rPr>
              <w:t>.20</w:t>
            </w:r>
            <w:r w:rsidR="00B16F0A">
              <w:rPr>
                <w:rFonts w:ascii="Times New Roman" w:hAnsi="Times New Roman"/>
              </w:rPr>
              <w:t>20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_______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муниципального образования    "Пеновский район"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16F0A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на 20</w:t>
            </w:r>
            <w:r w:rsidR="006B2CA3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и плановый период  </w:t>
            </w:r>
            <w:r w:rsidR="00742E94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2</w:t>
            </w:r>
            <w:r w:rsidR="00387F9D">
              <w:rPr>
                <w:rFonts w:ascii="Times New Roman" w:hAnsi="Times New Roman"/>
                <w:b/>
                <w:sz w:val="24"/>
              </w:rPr>
              <w:t xml:space="preserve"> и</w:t>
            </w:r>
            <w:r w:rsidR="0074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годов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201</w:t>
            </w:r>
            <w:r w:rsidR="00F92503">
              <w:rPr>
                <w:rFonts w:ascii="Times New Roman" w:hAnsi="Times New Roman"/>
                <w:b/>
                <w:sz w:val="24"/>
              </w:rPr>
              <w:t>9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F92503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5516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5349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5267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pPr>
              <w:rPr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</w:p>
          <w:p w:rsidR="00AA1F24" w:rsidRDefault="00AA1F24" w:rsidP="003E703B">
            <w:r>
              <w:rPr>
                <w:rFonts w:ascii="Times New Roman" w:hAnsi="Times New Roman"/>
                <w:sz w:val="24"/>
              </w:rPr>
              <w:t>постоянного  населения 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5226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3370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1856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620E" w:rsidTr="00096755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273 439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291 858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332 654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377 107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472 958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261 433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279 387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319 684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363 618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458 930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243BFD" w:rsidRDefault="00BD620E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BD620E" w:rsidRDefault="00BD620E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10093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10497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10917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11353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11808</w:t>
            </w:r>
          </w:p>
        </w:tc>
      </w:tr>
      <w:tr w:rsidR="00BD620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CF235A" w:rsidRDefault="00BD620E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C225D" w:rsidRDefault="00BD620E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2221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CF23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Индекс физического объема промышленного </w:t>
            </w:r>
          </w:p>
          <w:p w:rsidR="00BD620E" w:rsidRDefault="00BD620E" w:rsidP="00CF235A">
            <w:r>
              <w:rPr>
                <w:rFonts w:ascii="Times New Roman" w:hAnsi="Times New Roman"/>
                <w:sz w:val="24"/>
              </w:rPr>
              <w:t>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B8352C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121,4</w:t>
            </w:r>
          </w:p>
        </w:tc>
      </w:tr>
      <w:tr w:rsidR="00BD620E" w:rsidTr="00AC3A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243BFD" w:rsidRDefault="00BD620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BD620E" w:rsidRDefault="00BD620E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620E" w:rsidTr="005422FF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CF235A" w:rsidRDefault="00BD620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1B7A04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5801F7" w:rsidRDefault="00020FB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45C5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Default="00EA45C5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Pr="00BC225D" w:rsidRDefault="00EA45C5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5C5" w:rsidTr="00D9331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Default="00EA45C5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Pr="00BC225D" w:rsidRDefault="00EA45C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</w:tr>
      <w:tr w:rsidR="00B709D8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70C7" w:rsidTr="000A2C2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Default="008970C7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BC225D" w:rsidRDefault="008970C7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0C7" w:rsidRPr="00643D91" w:rsidTr="00946E6E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2B1B7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0C7" w:rsidRPr="00643D91" w:rsidTr="008D1795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 w:rsidR="00FA2AD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3291" w:rsidTr="00A0573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73291" w:rsidRDefault="00A73291" w:rsidP="004A5819">
            <w:r>
              <w:rPr>
                <w:rFonts w:ascii="Times New Roman" w:hAnsi="Times New Roman"/>
                <w:sz w:val="24"/>
              </w:rPr>
              <w:t>Валовая продукция сельского хозяйства во всех категориях 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73291" w:rsidRPr="00BC225D" w:rsidRDefault="00A7329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172,915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179,935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187,962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196,490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206,552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</w:t>
            </w:r>
            <w:r w:rsidRPr="00BC225D">
              <w:rPr>
                <w:rFonts w:ascii="Times New Roman" w:hAnsi="Times New Roman"/>
              </w:rPr>
              <w:lastRenderedPageBreak/>
              <w:t>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61,182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64,064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67,144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70,448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74,364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9,359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9,278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9,630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10,031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10,501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</w:tr>
      <w:tr w:rsidR="00947D34" w:rsidRPr="003251EB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102,374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106,594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111,188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116,011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121,686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246,0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687,0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1 673,3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1 674,4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4 007,0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4 013,0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4 025,0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4 040,0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D32EC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4F1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F04" w:rsidTr="00D32EC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Default="00460F04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Pr="00BC225D" w:rsidRDefault="00460F04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2E2E24" w:rsidRDefault="00D32EC4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2E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7794F" w:rsidTr="00BC5C3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Default="0097794F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BC225D" w:rsidRDefault="0097794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EB5" w:rsidTr="002E2E2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25EB5" w:rsidRDefault="00D25EB5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25EB5" w:rsidRPr="00BC225D" w:rsidRDefault="00D25EB5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1243,8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1031,4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855,2</w:t>
            </w:r>
          </w:p>
        </w:tc>
      </w:tr>
      <w:tr w:rsidR="00E3193D" w:rsidTr="001E14D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1B4144" w:rsidRDefault="00E3193D" w:rsidP="001B4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64F8" w:rsidTr="009864F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BC225D" w:rsidRDefault="009864F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45" w:rsidTr="00DB423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Default="009A4E45">
            <w:r>
              <w:rPr>
                <w:rFonts w:ascii="Times New Roman" w:hAnsi="Times New Roman"/>
                <w:sz w:val="24"/>
              </w:rPr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Pr="00BC225D" w:rsidRDefault="009A4E45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624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898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448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741</w:t>
            </w:r>
          </w:p>
        </w:tc>
      </w:tr>
      <w:tr w:rsidR="009A4E45" w:rsidTr="005B21AF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Default="009A4E45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Pr="00BC225D" w:rsidRDefault="009A4E45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D479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6D479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 w:rsidRPr="00D3646F">
              <w:rPr>
                <w:rFonts w:ascii="Times New Roman" w:hAnsi="Times New Roman"/>
                <w:sz w:val="24"/>
              </w:rPr>
              <w:t>Среднесписочная численность работников для расчета среднемесячной заработной платы</w:t>
            </w:r>
            <w:r>
              <w:rPr>
                <w:rFonts w:ascii="Times New Roman" w:hAnsi="Times New Roman"/>
                <w:sz w:val="24"/>
              </w:rPr>
              <w:t xml:space="preserve">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</w:tr>
      <w:tr w:rsidR="006D4795" w:rsidTr="00024D0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BD2102" w:rsidRPr="007A47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 w:rsidP="00E15AA6">
            <w:r>
              <w:rPr>
                <w:rFonts w:ascii="Times New Roman" w:hAnsi="Times New Roman"/>
                <w:sz w:val="24"/>
              </w:rPr>
              <w:t xml:space="preserve">Среднемесячная  заработная плата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22 883,88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23 520,36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23 766,54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24 092,80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24 636,99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>
            <w:proofErr w:type="gramStart"/>
            <w:r w:rsidRPr="00BD2102">
              <w:rPr>
                <w:rFonts w:ascii="Times New Roman" w:hAnsi="Times New Roman"/>
                <w:sz w:val="24"/>
              </w:rPr>
              <w:t>Среднемесячная заработная плата занятых в государственных и муниципальных учреждениях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24 428,91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25 282,05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25 667,95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26 078,21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26 520,51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Default="00BD2102">
            <w:pPr>
              <w:rPr>
                <w:rFonts w:ascii="Times New Roman" w:hAnsi="Times New Roman"/>
                <w:sz w:val="24"/>
              </w:rPr>
            </w:pPr>
            <w:r w:rsidRPr="00BD2102">
              <w:rPr>
                <w:rFonts w:ascii="Times New Roman" w:hAnsi="Times New Roman"/>
                <w:sz w:val="24"/>
              </w:rPr>
              <w:t xml:space="preserve">Среднемесячная заработная плата </w:t>
            </w:r>
            <w:proofErr w:type="gramStart"/>
            <w:r w:rsidRPr="00BD2102"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 w:rsidRPr="00BD2102">
              <w:rPr>
                <w:rFonts w:ascii="Times New Roman" w:hAnsi="Times New Roman"/>
                <w:sz w:val="24"/>
              </w:rPr>
              <w:t xml:space="preserve"> во внебюджетной сфере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Pr="00BC225D" w:rsidRDefault="00BD2102">
            <w:pPr>
              <w:rPr>
                <w:rFonts w:ascii="Times New Roman" w:hAnsi="Times New Roman"/>
              </w:rPr>
            </w:pPr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21 427,14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21 785,35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21 893,94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22 166,67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22 809,70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373,47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369,74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373,61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381,63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</w:tr>
      <w:tr w:rsidR="00824FF6" w:rsidTr="00824FF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BD2102">
            <w:r>
              <w:rPr>
                <w:rFonts w:ascii="Times New Roman" w:hAnsi="Times New Roman"/>
                <w:sz w:val="24"/>
              </w:rPr>
              <w:t xml:space="preserve">Из него: - </w:t>
            </w:r>
            <w:r w:rsidRPr="00BD2102">
              <w:rPr>
                <w:rFonts w:ascii="Times New Roman" w:hAnsi="Times New Roman"/>
                <w:sz w:val="24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184,40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188,10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191,11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194,36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197,86</w:t>
            </w:r>
          </w:p>
        </w:tc>
      </w:tr>
      <w:tr w:rsidR="00BD2102" w:rsidTr="00987D6C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Default="00BD2102">
            <w:r>
              <w:t xml:space="preserve">                </w:t>
            </w:r>
            <w:r w:rsidRPr="00BD2102">
              <w:rPr>
                <w:rFonts w:ascii="Times New Roman" w:hAnsi="Times New Roman"/>
                <w:sz w:val="24"/>
              </w:rPr>
              <w:t>- фонд заработной платы во внебюджетной сфере</w:t>
            </w:r>
            <w: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Pr="00BC225D" w:rsidRDefault="00BD210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179,99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172,54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173,40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178,22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183,39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3B8" w:rsidTr="007C33B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C33B8" w:rsidRDefault="007C33B8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C33B8" w:rsidRPr="00BC225D" w:rsidRDefault="007C33B8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Default="007C33B8" w:rsidP="00CD5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154,9</w:t>
            </w:r>
          </w:p>
          <w:p w:rsidR="007C33B8" w:rsidRPr="006B4C1C" w:rsidRDefault="007C33B8" w:rsidP="00CD5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Фактический уровень платежей населения за жилое 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E1CB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Default="001E1CB1">
            <w:r>
              <w:rPr>
                <w:rFonts w:ascii="Times New Roman" w:hAnsi="Times New Roman"/>
                <w:sz w:val="24"/>
              </w:rPr>
              <w:lastRenderedPageBreak/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918E7" w:rsidTr="00D70B3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Default="009918E7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Pr="00BC225D" w:rsidRDefault="009918E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761D6" w:rsidTr="00D9494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Default="00F761D6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BC225D" w:rsidRDefault="00F761D6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1E1CB1" w:rsidTr="001E1CB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Default="001E1CB1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1E14D8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</w:p>
    <w:p w:rsidR="00BC225D" w:rsidRPr="00BC225D" w:rsidRDefault="00BC225D" w:rsidP="00BC225D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C225D" w:rsidRDefault="00BC225D" w:rsidP="00BC225D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>к прогнозу социально-экономического развития муниципального образования «Пеновский район» на 20</w:t>
      </w:r>
      <w:r w:rsidR="00204166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1</w:t>
      </w:r>
      <w:r w:rsidRPr="00BC225D">
        <w:rPr>
          <w:rFonts w:ascii="Times New Roman" w:hAnsi="Times New Roman"/>
          <w:b/>
          <w:sz w:val="26"/>
          <w:szCs w:val="26"/>
        </w:rPr>
        <w:t xml:space="preserve"> год и плановый период  20</w:t>
      </w:r>
      <w:r w:rsidR="00DD1CA7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2</w:t>
      </w:r>
      <w:r w:rsidRPr="00BC225D">
        <w:rPr>
          <w:rFonts w:ascii="Times New Roman" w:hAnsi="Times New Roman"/>
          <w:b/>
          <w:sz w:val="26"/>
          <w:szCs w:val="26"/>
        </w:rPr>
        <w:t xml:space="preserve">  и 20</w:t>
      </w:r>
      <w:r w:rsidR="00895A41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3</w:t>
      </w:r>
      <w:r w:rsidRPr="00BC225D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8718AC" w:rsidRDefault="008718AC" w:rsidP="00BC22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3E75" w:rsidRDefault="00EA3E75" w:rsidP="00EA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EA3E75" w:rsidRDefault="00EA3E75" w:rsidP="00EA3E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прогнозу социально-экономического развития муниципального образования «Пеновский район» на 2021 год и плановый период  2022  и 2023 годов.</w:t>
      </w:r>
    </w:p>
    <w:p w:rsidR="00EA3E75" w:rsidRPr="00EA3E75" w:rsidRDefault="00EA3E75" w:rsidP="00EA3E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«Пеновский район» на 2021 год  и плановый период 2022 и 2023 годов  разработан в соответствии с Федеральным законом от 28.06.2014 № 172-ФЗ «О стратегическом планировании в Российской Федерации», законом Тверской области от 15.07.2015 № 66-30</w:t>
      </w:r>
      <w:r w:rsidRPr="00EA3E75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EA3E75">
        <w:rPr>
          <w:rFonts w:ascii="Times New Roman" w:hAnsi="Times New Roman"/>
          <w:sz w:val="24"/>
          <w:szCs w:val="24"/>
        </w:rPr>
        <w:br/>
        <w:t>Администрации Тверской области от 21.04.2009 № 157-па «О Порядке</w:t>
      </w:r>
      <w:r w:rsidRPr="00EA3E75">
        <w:rPr>
          <w:rFonts w:ascii="Times New Roman" w:hAnsi="Times New Roman"/>
          <w:sz w:val="24"/>
          <w:szCs w:val="24"/>
        </w:rPr>
        <w:br/>
        <w:t>разработки и корректировки прогноза социально-экономического развития</w:t>
      </w:r>
      <w:r w:rsidRPr="00EA3E75">
        <w:rPr>
          <w:rFonts w:ascii="Times New Roman" w:hAnsi="Times New Roman"/>
          <w:sz w:val="24"/>
          <w:szCs w:val="24"/>
        </w:rPr>
        <w:br/>
        <w:t>Тверской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области на среднесрочный период и Порядке </w:t>
      </w:r>
      <w:proofErr w:type="gramStart"/>
      <w:r w:rsidRPr="00EA3E75">
        <w:rPr>
          <w:rFonts w:ascii="Times New Roman" w:hAnsi="Times New Roman"/>
          <w:sz w:val="24"/>
          <w:szCs w:val="24"/>
        </w:rPr>
        <w:t>организации</w:t>
      </w:r>
      <w:r w:rsidRPr="00EA3E75">
        <w:rPr>
          <w:rFonts w:ascii="Times New Roman" w:hAnsi="Times New Roman"/>
          <w:sz w:val="24"/>
          <w:szCs w:val="24"/>
        </w:rPr>
        <w:br/>
        <w:t>составления проекта закона Тверской области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об областном бюджете</w:t>
      </w:r>
      <w:r w:rsidRPr="00EA3E75">
        <w:rPr>
          <w:rFonts w:ascii="Times New Roman" w:hAnsi="Times New Roman"/>
          <w:sz w:val="24"/>
          <w:szCs w:val="24"/>
        </w:rPr>
        <w:br/>
        <w:t>Тверской области на очередной финансовый год и плановый период», 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>Прогноз базируется на результатах комплексного анализа</w:t>
      </w:r>
      <w:r w:rsidRPr="00EA3E75">
        <w:rPr>
          <w:rFonts w:ascii="Times New Roman" w:hAnsi="Times New Roman"/>
          <w:sz w:val="24"/>
          <w:szCs w:val="24"/>
        </w:rPr>
        <w:br/>
        <w:t>экономических и социальных процессов, происходящих в районе, с учетом</w:t>
      </w:r>
      <w:r w:rsidRPr="00EA3E75">
        <w:rPr>
          <w:rFonts w:ascii="Times New Roman" w:hAnsi="Times New Roman"/>
          <w:sz w:val="24"/>
          <w:szCs w:val="24"/>
        </w:rPr>
        <w:br/>
        <w:t>исходной информации Министерства экономического развития  Тверской области  от 06.08.2020 года № 5100 «О разработке прогноза</w:t>
      </w:r>
      <w:r w:rsidRPr="00EA3E75">
        <w:rPr>
          <w:rFonts w:ascii="Times New Roman" w:hAnsi="Times New Roman"/>
          <w:sz w:val="24"/>
          <w:szCs w:val="24"/>
        </w:rPr>
        <w:br/>
        <w:t>социально-экономического развития Тверской области на 2021 год и</w:t>
      </w:r>
      <w:r w:rsidRPr="00EA3E75">
        <w:rPr>
          <w:rFonts w:ascii="Times New Roman" w:hAnsi="Times New Roman"/>
          <w:sz w:val="24"/>
          <w:szCs w:val="24"/>
        </w:rPr>
        <w:br/>
        <w:t>плановый период 2022 и 2023 годов», (сценарных условиях</w:t>
      </w:r>
      <w:r w:rsidRPr="00EA3E75">
        <w:rPr>
          <w:rFonts w:ascii="Times New Roman" w:hAnsi="Times New Roman"/>
          <w:sz w:val="24"/>
          <w:szCs w:val="24"/>
        </w:rPr>
        <w:br/>
        <w:t>функционирования экономики Российской Федерации, прогноза показателей</w:t>
      </w:r>
      <w:r w:rsidRPr="00EA3E75">
        <w:rPr>
          <w:rFonts w:ascii="Times New Roman" w:hAnsi="Times New Roman"/>
          <w:sz w:val="24"/>
          <w:szCs w:val="24"/>
        </w:rPr>
        <w:br/>
        <w:t>инфляции и системы цен, дефляторов и индексов цен по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видам</w:t>
      </w:r>
      <w:r w:rsidRPr="00EA3E75">
        <w:rPr>
          <w:rFonts w:ascii="Times New Roman" w:hAnsi="Times New Roman"/>
          <w:sz w:val="24"/>
          <w:szCs w:val="24"/>
        </w:rPr>
        <w:br/>
        <w:t>экономической деятельности, основных параметров прогноза социально-</w:t>
      </w:r>
      <w:r w:rsidRPr="00EA3E75">
        <w:rPr>
          <w:rFonts w:ascii="Times New Roman" w:hAnsi="Times New Roman"/>
          <w:sz w:val="24"/>
          <w:szCs w:val="24"/>
        </w:rPr>
        <w:br/>
        <w:t>экономического развития Российской Федерации на период до 2023 года), при участии предприятий, организаций, предпринимателей и заинтересованных служб района.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связи  со сложившейся  ситуацией с распространением новой </w:t>
      </w:r>
      <w:proofErr w:type="spellStart"/>
      <w:r w:rsidRPr="00EA3E7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инфекции  было отменено ежегодное согласование прогнозных показателей в мае 2020г.,  сроки разработки и согласования прогноза были перенесены на сентябрь 2020г. (разработка и согласование прогноза осуществлялась по разделам: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«Агропромышленный комплекс». «Демография», «Инвестиции», «Малое и среднее предпринимательство», «Промышленное производство», «Строительство», «Труд и занятость».  Прогноз      рассмотрен    и   согласован  с   Министерством экономического развития Тверской области     10 сентября  2020г. – в целом   по  району,  и  в разрезе поселений района  по отдельным  показателям. </w:t>
      </w:r>
    </w:p>
    <w:p w:rsidR="00EA3E75" w:rsidRPr="00EA3E75" w:rsidRDefault="00EA3E75" w:rsidP="00EA3E7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«Демография».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Динамика численности населения района остается сложной. Так по состоянию на 01.01.2019г. численность постоянно проживающего населения составляет 5,516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.: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E75">
        <w:rPr>
          <w:rFonts w:ascii="Times New Roman" w:hAnsi="Times New Roman"/>
          <w:sz w:val="24"/>
          <w:szCs w:val="24"/>
        </w:rPr>
        <w:t>Вт.ч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.- городское население – 3,451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(на 01.01.2019г. – 3,559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тыс.чел</w:t>
      </w:r>
      <w:proofErr w:type="spellEnd"/>
      <w:r w:rsidRPr="00EA3E75">
        <w:rPr>
          <w:rFonts w:ascii="Times New Roman" w:hAnsi="Times New Roman"/>
          <w:sz w:val="24"/>
          <w:szCs w:val="24"/>
        </w:rPr>
        <w:t>.);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                  - сельское население – 2,065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(на 01.01.2019г. –  2,162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тыс.чел</w:t>
      </w:r>
      <w:proofErr w:type="spellEnd"/>
      <w:r w:rsidRPr="00EA3E75">
        <w:rPr>
          <w:rFonts w:ascii="Times New Roman" w:hAnsi="Times New Roman"/>
          <w:sz w:val="24"/>
          <w:szCs w:val="24"/>
        </w:rPr>
        <w:t>.)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протяжении последних лет по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району  смертность в  несколько раз превышает рождаемость. За 2019 год  в районе родилось  47  детей,  умерло  114 человек. Естественная убыль за 2019 год  составила 67  человек.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42 %, в </w:t>
      </w:r>
      <w:proofErr w:type="gramStart"/>
      <w:r w:rsidRPr="00EA3E75">
        <w:rPr>
          <w:rFonts w:ascii="Times New Roman" w:hAnsi="Times New Roman"/>
          <w:sz w:val="24"/>
          <w:szCs w:val="24"/>
        </w:rPr>
        <w:t>связи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с чем н</w:t>
      </w:r>
      <w:r w:rsidRPr="00EA3E75">
        <w:rPr>
          <w:rFonts w:ascii="Times New Roman" w:hAnsi="Times New Roman"/>
          <w:bCs/>
          <w:sz w:val="24"/>
          <w:szCs w:val="24"/>
        </w:rPr>
        <w:t>а высоком уровне прогнозируется смертность населения.</w:t>
      </w:r>
      <w:r w:rsidRPr="00EA3E75">
        <w:rPr>
          <w:rFonts w:ascii="Times New Roman" w:hAnsi="Times New Roman"/>
          <w:sz w:val="24"/>
          <w:szCs w:val="24"/>
        </w:rPr>
        <w:t xml:space="preserve"> Низкая рождаемость, не обеспечивающая воспроизводство населения.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Учитывая эту  тенденцию,  численность постоянного населения в прогнозируемом периоде </w:t>
      </w:r>
      <w:r w:rsidRPr="00EA3E75">
        <w:rPr>
          <w:rFonts w:ascii="Times New Roman" w:hAnsi="Times New Roman"/>
          <w:sz w:val="24"/>
          <w:szCs w:val="24"/>
        </w:rPr>
        <w:lastRenderedPageBreak/>
        <w:t>снизится с 5516  чел. (в 2019г.) до 5267 чел. (в 2023г).</w:t>
      </w:r>
    </w:p>
    <w:p w:rsidR="00EA3E75" w:rsidRPr="00EA3E75" w:rsidRDefault="00EA3E75" w:rsidP="00EA3E75">
      <w:pPr>
        <w:jc w:val="center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«Промышленное производство».</w:t>
      </w:r>
    </w:p>
    <w:p w:rsidR="00EA3E75" w:rsidRPr="00EA3E75" w:rsidRDefault="00EA3E75" w:rsidP="00EA3E7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По итогам работы за 2019 год в районе по виду экономической деятельности «Лесозаготовки» (класс 02)  индекс промышленного производства составил 117,7 %. На приобретение, модернизацию лесозаготовительной и лесовозной  техники ООО «Инвест-Лизинг-Тверь»  в 2019гг. направлено инвестиций -  14,6  </w:t>
      </w:r>
      <w:proofErr w:type="spellStart"/>
      <w:r w:rsidRPr="00EA3E75">
        <w:rPr>
          <w:rFonts w:ascii="Times New Roman" w:hAnsi="Times New Roman"/>
          <w:sz w:val="24"/>
          <w:szCs w:val="24"/>
        </w:rPr>
        <w:t>млн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., объем инвестиций увеличился к уровню прошлого года в 15,7 раза – это приобретение  3-х единиц лесовозной техники: 2 КАМАЗа,  1 Урал и  1 прицеп. Объем отгрузки древесины по предприятию увеличен к уровню прошлого года на 18,7 %.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  2020 г. по Разделу «Лесозаготовки» (класс 02)  ожидается  рост объемов производства  выпускаемой продукции на 1,9%. В  прогнозируемом периоде 2021-2023 гг. роста объемов производства  не ожидается или на уровне 2020г. -  в связи  недостаточностью сырьевой базы.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2019 году по промышленному производству района увеличен выпуск продукции на 11,5% что связано с деятельностью деревообрабатывающего предприятия  ООО «ДИСКАВЕРИ-Пено» в результате  реализации приоритетного инвестиционного проекта  по модернизации промышленной  базы предприятия  -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 (срок реализации - 2019-2023 гг.);  на предприятии увеличены выпуск пиломатериалов в 1,14 раза  и топливных гранул   в 1,13 раза.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2019 г. индекс промышленного производства составил 114 %.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>В 2020 гг.   в прогнозируемом периоде  по Разделу</w:t>
      </w:r>
      <w:proofErr w:type="gramStart"/>
      <w:r w:rsidRPr="00EA3E7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 «Обрабатывающие производства» ожидается рост промышленного производства  соответственно – 6,9%, 10,8%, 9,5% и 21,4% в связи  с реализацией инвестиционного проекта ООО «ДИСКАВЕРИ-Пено».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60,5 % объясняется  спадом  промышленного производства п</w:t>
      </w:r>
      <w:proofErr w:type="gramStart"/>
      <w:r w:rsidRPr="00EA3E75">
        <w:rPr>
          <w:rFonts w:ascii="Times New Roman" w:hAnsi="Times New Roman"/>
          <w:sz w:val="24"/>
          <w:szCs w:val="24"/>
        </w:rPr>
        <w:t>о 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источники». Данная тенденция вызвана высокой конкуренцией на рынке производства безалкогольных напитков, ведением на предприятии в 2019 г. режима неполного рабочего времени и сменой собственника предприятия – продажа  предприятия в 4 кв.2019г.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2021-2023 г. 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на 1,3  %  ежегодно, в соответствии с договором поставки безалкогольных напитков  в Московскую область.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ab/>
        <w:t>Класс 16  «Обработка древесины и  производство изделий из дерева». В 2019 году  индекс промышленного производства составил 114,0 %. Рост  производства гранул топливных  н</w:t>
      </w:r>
      <w:proofErr w:type="gramStart"/>
      <w:r w:rsidRPr="00EA3E75">
        <w:rPr>
          <w:rFonts w:ascii="Times New Roman" w:hAnsi="Times New Roman"/>
          <w:sz w:val="24"/>
          <w:szCs w:val="24"/>
        </w:rPr>
        <w:t>а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«ДИСКАВЕРИ-Пено» с 11,2 тыс. тонн до 12,7 тыс. тонн, вызван реализацией инвестиционного проекта по модернизации производства. Рост выпуска пиломатериалов составил 1,14 раза.  В 2019 г.  на модернизацию производственной базы направлено инвестиций в сумме 20,073 млн. руб. Продукция реализуется преимущественно на экспорт (Прибалтика).</w:t>
      </w:r>
      <w:r w:rsidRPr="00EA3E7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ab/>
        <w:t>По виду экономической деятельности Класс D «Обеспечение  электрической энергией, газом и паром; кондиционирование  воздуха» по итогам работы 2019 год индекс промышленного производства составил 89,8%., спад производства вызван благоприятными погодными условиями при прохождении отопительного сезона в 2019-2020гг</w:t>
      </w:r>
      <w:proofErr w:type="gramStart"/>
      <w:r w:rsidRPr="00EA3E75">
        <w:rPr>
          <w:rFonts w:ascii="Times New Roman" w:hAnsi="Times New Roman"/>
          <w:sz w:val="24"/>
          <w:szCs w:val="24"/>
        </w:rPr>
        <w:t>..</w:t>
      </w:r>
      <w:proofErr w:type="gramEnd"/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2019 году средняя цена за 1  Гкал  увеличена, в связи с ростом тарифов РЭК: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с 01.01.2019  по  30.06.2019 – 2000,53 руб./Гкал.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 xml:space="preserve">- с 01.07.2019 по 31.12.2019  – 2079,89 руб./Гкал. </w:t>
      </w:r>
      <w:r w:rsidRPr="00EA3E7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2020 году средняя цена за 1  Гкал  увеличена, в связи с ростом тарифов РЭК: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с 01.01.2020  по  30.06.2020 – 2079,89 руб./Гкал.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с 01.07.2020 по 31.12.2020  – 20195,48 руб./Гкал.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По виду экономической деятельности  Класс E «Водоснабжение; водоотведение, организация сбора и утилизации отходов, деятельность по ликвидации загрязнений» индекс промышленного производства составил 47,7%. Данная тенденция вызвана завершением  деятельност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«Строй-Комплект» по сбору и вывозу ТКО,  переходом данного вида  деятельности к региональному  оператору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Тверьспецавтохозяйство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».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прогнозируемом периоде  2020-2022гг.   индекс промышленного производства  составит </w:t>
      </w:r>
      <w:r w:rsidRPr="00EA3E75">
        <w:rPr>
          <w:rFonts w:ascii="Times New Roman" w:hAnsi="Times New Roman"/>
          <w:sz w:val="24"/>
          <w:szCs w:val="24"/>
        </w:rPr>
        <w:lastRenderedPageBreak/>
        <w:t>100%.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Вывоз ТБО: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84,8 %,  спад  вызван установкой приборов учета на воду.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Класс 37 «Сбор  и обработка сточных вод» индекс промышленного производства </w:t>
      </w:r>
      <w:proofErr w:type="gramStart"/>
      <w:r w:rsidRPr="00EA3E75">
        <w:rPr>
          <w:rFonts w:ascii="Times New Roman" w:hAnsi="Times New Roman"/>
          <w:sz w:val="24"/>
          <w:szCs w:val="24"/>
        </w:rPr>
        <w:t>составил 89,6 спад  вызван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установкой приборов учета на воду.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В прогнозируемом периоде не ожидается подключения новых объектов  к системам водоснабжения  и водоотведения.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Водоснабжение: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01.01.2017 г. по 30.06.2017 г. – 31,98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01.07.2017 г. по 31.12.2017 г. – 32,62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01.01.2020 г. по 30.06.2020 г. – 32,62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01.07.2020 г. по 31.12.2020 г. – 33,85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b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Водоотведение: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01.01.2017 г. по 30.06.2017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01.07.2017 г. по 31.12.2017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01.01.2020 г. по 30.06.2020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01.07.2020 г. по 31.12.2020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«Сельское хозяйство».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Прогнозные показатели социально – экономического развития «Пеновский район» включены 6 сельскохозяйственных предприятий, в том числе ООО «Верхневолжский животноводческий комплекс»  обособленное подразделение Пеновского района, 25крестьянских фермерских хозяйств, 1803 личных подсобных хозяйств.</w:t>
      </w:r>
    </w:p>
    <w:p w:rsidR="00EA3E75" w:rsidRPr="00EA3E75" w:rsidRDefault="00EA3E75" w:rsidP="00EA3E7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В показателях «Производство основных видов сельскохозяйственной продукции всеми категориями хозяйств района за 2019 год  произошло сокращение производства молока на 16 тонн  в ЛПХ, за счет выбраковки дойного стада и снижения продуктивности.   Увеличилось производство картофеля, из них п</w:t>
      </w:r>
      <w:proofErr w:type="gramStart"/>
      <w:r w:rsidRPr="00EA3E75">
        <w:rPr>
          <w:rFonts w:ascii="Times New Roman" w:hAnsi="Times New Roman"/>
          <w:sz w:val="24"/>
          <w:szCs w:val="24"/>
        </w:rPr>
        <w:t>о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 на 1100 тонн, за счет увеличения  посевных площадей картофеля к уровню 2018 года на 60 га, также данное хозяйство увеличило  производство зерна на 52 тонн, за счет увеличения посевной площади озимых культур на 110 га.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    </w:t>
      </w:r>
      <w:r w:rsidRPr="00EA3E75">
        <w:rPr>
          <w:rFonts w:ascii="Times New Roman" w:hAnsi="Times New Roman"/>
          <w:sz w:val="24"/>
          <w:szCs w:val="24"/>
        </w:rPr>
        <w:tab/>
        <w:t>С  2020 года по 2023 год прогнозные показатели  остаются на уровне 2019 года.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Численность поголовья крупного рогатого скота </w:t>
      </w:r>
      <w:proofErr w:type="gramStart"/>
      <w:r w:rsidRPr="00EA3E7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 2023 года сократилась на 824 головы за счет  ликвидации обособленного подразделения Пено в ООО «Верхневолжский животноводческий комплекс». Поголовье скота переведено в </w:t>
      </w:r>
      <w:proofErr w:type="spellStart"/>
      <w:r w:rsidRPr="00EA3E75">
        <w:rPr>
          <w:rFonts w:ascii="Times New Roman" w:hAnsi="Times New Roman"/>
          <w:sz w:val="24"/>
          <w:szCs w:val="24"/>
        </w:rPr>
        <w:t>Сандовское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обособленное подразделение.  Юридический адрес предприятия пос. Пено.</w:t>
      </w:r>
    </w:p>
    <w:p w:rsidR="00EA3E75" w:rsidRPr="00EA3E75" w:rsidRDefault="00EA3E75" w:rsidP="00EA3E75">
      <w:pPr>
        <w:pStyle w:val="2"/>
        <w:spacing w:line="240" w:lineRule="auto"/>
        <w:ind w:firstLine="709"/>
        <w:rPr>
          <w:rStyle w:val="1"/>
          <w:rFonts w:cs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«Малое предпринимательство».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EA3E7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A3E75">
        <w:rPr>
          <w:rFonts w:ascii="Times New Roman" w:hAnsi="Times New Roman"/>
          <w:sz w:val="24"/>
          <w:szCs w:val="24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«Строительство».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территории района крупных и </w:t>
      </w:r>
      <w:proofErr w:type="gramStart"/>
      <w:r w:rsidRPr="00EA3E75">
        <w:rPr>
          <w:rFonts w:ascii="Times New Roman" w:hAnsi="Times New Roman"/>
          <w:sz w:val="24"/>
          <w:szCs w:val="24"/>
        </w:rPr>
        <w:t>средних  организаций, осуществляющих строительную деятельность не имеется</w:t>
      </w:r>
      <w:proofErr w:type="gramEnd"/>
      <w:r w:rsidRPr="00EA3E75">
        <w:rPr>
          <w:rFonts w:ascii="Times New Roman" w:hAnsi="Times New Roman"/>
          <w:sz w:val="24"/>
          <w:szCs w:val="24"/>
        </w:rPr>
        <w:t>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2018 году индекс физического объема по вводу жилья  составил 132,5%, рост вызван вводом  индивидуальными застройщиками в эксплуатацию 2-х ИЖД  «бизнес» класса общей площадью  более 250 </w:t>
      </w:r>
      <w:proofErr w:type="spellStart"/>
      <w:r w:rsidRPr="00EA3E75">
        <w:rPr>
          <w:rFonts w:ascii="Times New Roman" w:hAnsi="Times New Roman"/>
          <w:sz w:val="24"/>
          <w:szCs w:val="24"/>
        </w:rPr>
        <w:t>кв.м</w:t>
      </w:r>
      <w:proofErr w:type="spellEnd"/>
      <w:r w:rsidRPr="00EA3E75">
        <w:rPr>
          <w:rFonts w:ascii="Times New Roman" w:hAnsi="Times New Roman"/>
          <w:sz w:val="24"/>
          <w:szCs w:val="24"/>
        </w:rPr>
        <w:t>. (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поселение).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2019 году индекс физического объема по вводу жилья  составил 163%, рост вызван проведением работы главами поселений района и отдела архитектуры по выявлению объектов </w:t>
      </w:r>
      <w:r w:rsidRPr="00EA3E75">
        <w:rPr>
          <w:rFonts w:ascii="Times New Roman" w:hAnsi="Times New Roman"/>
          <w:sz w:val="24"/>
          <w:szCs w:val="24"/>
        </w:rPr>
        <w:lastRenderedPageBreak/>
        <w:t>жилищного  строительства, не поставленных на учет в Управлении Федеральной службы государственной регистрации, кадастра и картографии по Тверской области (</w:t>
      </w:r>
      <w:proofErr w:type="spellStart"/>
      <w:r w:rsidRPr="00EA3E7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EA3E75">
        <w:rPr>
          <w:rFonts w:ascii="Times New Roman" w:hAnsi="Times New Roman"/>
          <w:sz w:val="24"/>
          <w:szCs w:val="24"/>
        </w:rPr>
        <w:t>), а так же  проведением разъяснительной работы с населением о необходимости постановки  на учет таких объектов.</w:t>
      </w:r>
      <w:proofErr w:type="gramEnd"/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2020 году индекс физического объема по вводу жилья  составит 43,7%. Снижение ввода в эксплуатацию жилых домов  в 2020 вызвано снижением активности индивидуальных застройщиков (динамика снижения выдачи  разрешений на строительство ИЖС – 35% к уровню прошлого (2019) года) и  вводом жилья «эконом» класса  общей площадью до 100 </w:t>
      </w:r>
      <w:proofErr w:type="spellStart"/>
      <w:r w:rsidRPr="00EA3E75">
        <w:rPr>
          <w:rFonts w:ascii="Times New Roman" w:hAnsi="Times New Roman"/>
          <w:sz w:val="24"/>
          <w:szCs w:val="24"/>
        </w:rPr>
        <w:t>кв.м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До конца 2020 г. ожидается ввод 8-ми ИЖС общей площадью  77,4 </w:t>
      </w:r>
      <w:proofErr w:type="spellStart"/>
      <w:r w:rsidRPr="00EA3E75">
        <w:rPr>
          <w:rFonts w:ascii="Times New Roman" w:hAnsi="Times New Roman"/>
          <w:sz w:val="24"/>
          <w:szCs w:val="24"/>
        </w:rPr>
        <w:t>кв</w:t>
      </w:r>
      <w:proofErr w:type="gramEnd"/>
      <w:r w:rsidRPr="00EA3E75">
        <w:rPr>
          <w:rFonts w:ascii="Times New Roman" w:hAnsi="Times New Roman"/>
          <w:sz w:val="24"/>
          <w:szCs w:val="24"/>
        </w:rPr>
        <w:t>.м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(городское поселение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A3E75">
        <w:rPr>
          <w:rFonts w:ascii="Times New Roman" w:hAnsi="Times New Roman"/>
          <w:sz w:val="24"/>
          <w:szCs w:val="24"/>
        </w:rPr>
        <w:t>Заевское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сельские поселения).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прогнозируемом периоде 2021-2023 гг. планируется снижение ввода в эксплуатацию жилых домов к уровню 2020 года  на 17% ежегодно,  за счет  строительства жилья населением за счет собственных и заемных средств.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«Инвестиции».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2019</w:t>
      </w:r>
      <w:r w:rsidRPr="00EA3E75">
        <w:rPr>
          <w:rFonts w:ascii="Times New Roman" w:hAnsi="Times New Roman"/>
          <w:sz w:val="24"/>
          <w:szCs w:val="24"/>
        </w:rPr>
        <w:t xml:space="preserve"> году объем инвестиции 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снизился    к уровню 2018  г.  на 82,5%   и составили  13 624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Спад вызван: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РАЗДЕЛ A: Сельское, лесное хозяйство, охота, рыболовство и рыбоводство – 13056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из них: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переходом </w:t>
      </w:r>
      <w:r w:rsidRPr="00EA3E75">
        <w:rPr>
          <w:rFonts w:ascii="Times New Roman" w:hAnsi="Times New Roman"/>
          <w:sz w:val="24"/>
          <w:szCs w:val="24"/>
        </w:rPr>
        <w:t>ООО «Верхневолжский животноводческий комплекс» из средних предприятий в малые, поэтому  объем инвестиций по предприятию не отражен в  отчете за 2019г.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  <w:rPr>
          <w:color w:val="000000"/>
        </w:rPr>
      </w:pPr>
      <w:r w:rsidRPr="00EA3E75">
        <w:rPr>
          <w:color w:val="000000"/>
        </w:rPr>
        <w:t xml:space="preserve">РАЗДЕЛ D: Обеспечение электрической энергией, газом  и паром; кондиционирование воздуха – 3940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 (83,1%).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R: Деятельность в области культуры, спорта, организации досуга и развлечений: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ГКУ «</w:t>
      </w:r>
      <w:proofErr w:type="spellStart"/>
      <w:r w:rsidRPr="00EA3E75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  - 6401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</w:t>
      </w:r>
      <w:r w:rsidRPr="00EA3E75">
        <w:rPr>
          <w:rFonts w:ascii="Times New Roman" w:hAnsi="Times New Roman"/>
          <w:sz w:val="24"/>
          <w:szCs w:val="24"/>
        </w:rPr>
        <w:t xml:space="preserve"> </w:t>
      </w:r>
      <w:r w:rsidRPr="00EA3E75">
        <w:rPr>
          <w:rFonts w:ascii="Times New Roman" w:hAnsi="Times New Roman"/>
          <w:color w:val="000000"/>
          <w:sz w:val="24"/>
          <w:szCs w:val="24"/>
        </w:rPr>
        <w:t>Реконструкция мемориала "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Ксты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" (71,3%).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2752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2313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– разработка ПСД на  строительство РДК в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«ПМЦБ»- 439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2020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в 8,9  раза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128 898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Рост,  в основном,  вызван  деятельностью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C: Обрабатывающие производства -  92 050</w:t>
      </w:r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  <w:rPr>
          <w:color w:val="000000"/>
        </w:rPr>
      </w:pPr>
      <w:r w:rsidRPr="00EA3E75">
        <w:rPr>
          <w:color w:val="000000"/>
        </w:rPr>
        <w:t xml:space="preserve">РАЗДЕЛ D: Обеспечение электрической энергией, газом  и паром; кондиционирование воздуха – 3798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 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3798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– реализация инвестиционной программы;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533,1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913,8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- 131,8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31260,6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lastRenderedPageBreak/>
        <w:t xml:space="preserve">- МБУК «РЦКД»  1109,7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приобретение музыкальных инструментов.;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«ПМЦБ»-  150,9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- 30 000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2021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на 2%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138448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Рост,  в основном,  вызван строительством районного дома культуры в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.,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30 000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106 781,2 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56689,2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строительство ДК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 ДО «ДШИ» -  32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– приобретение муз. инструментов: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- 50 000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2022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на 78%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258 600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Рост,  в основном,  вызван строительством районного дома культуры в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.,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100 000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 156 779,6   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56689,2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строительство ДК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 ДО «ДШИ» -  30,4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– приобретение муз. инструментов: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- 100 000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2023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спад инвестиций на 14 %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232 741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Спад вызван  завершением строительства  ДК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130 800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lastRenderedPageBreak/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ind w:left="0" w:firstLine="709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  100163,1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103,1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приобретение </w:t>
      </w:r>
      <w:proofErr w:type="spellStart"/>
      <w:r w:rsidRPr="00EA3E75">
        <w:rPr>
          <w:rFonts w:ascii="Times New Roman" w:hAnsi="Times New Roman"/>
          <w:sz w:val="24"/>
          <w:szCs w:val="24"/>
        </w:rPr>
        <w:t>муз.инструментов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- 100 000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«Труд и занятость».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Ежегодно на 1-2% наблюдается тенденция сокращения численности трудовых ресурсов в экономике Пеновского района. И в среднесрочной перспективе сохранится тенденция к их сокращению: в 2016 году – 3,00 тыс. человек, к 2023 году данный показатель составит 2,38 тыс. человек.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EA3E75">
        <w:rPr>
          <w:rFonts w:ascii="Times New Roman" w:hAnsi="Times New Roman"/>
          <w:sz w:val="24"/>
          <w:szCs w:val="24"/>
        </w:rPr>
        <w:t>занятых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экономике в прогнозируемый период также будет постепенно уменьшаться.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Основная доля </w:t>
      </w:r>
      <w:proofErr w:type="gramStart"/>
      <w:r w:rsidRPr="00EA3E75">
        <w:rPr>
          <w:rFonts w:ascii="Times New Roman" w:hAnsi="Times New Roman"/>
          <w:sz w:val="24"/>
          <w:szCs w:val="24"/>
        </w:rPr>
        <w:t>занятых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экономике приходится на внебюджетную сферу – 44%.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К предприятиям с наибольшей численностью за 2019 год  относятся: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«Верхневолжский животноводческий комплекс» (мясное скотоводство) - 99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«Инвест-Лизинг-Тверь» (лесозаготовка) - 99 человек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«ДИСКАВЕРИ-Пено» (деревообработка) - 97 че</w:t>
      </w:r>
      <w:bookmarkStart w:id="1" w:name="_GoBack"/>
      <w:bookmarkEnd w:id="1"/>
      <w:r w:rsidRPr="00EA3E75">
        <w:rPr>
          <w:rFonts w:ascii="Times New Roman" w:hAnsi="Times New Roman"/>
          <w:sz w:val="24"/>
          <w:szCs w:val="24"/>
        </w:rPr>
        <w:t>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>» (молочно-мясное животноводство, картофелеводство) - 19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«Строй-Комплект» (коммунальные услуги) – 19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Орлинка</w:t>
      </w:r>
      <w:proofErr w:type="spellEnd"/>
      <w:r w:rsidRPr="00EA3E75">
        <w:rPr>
          <w:rFonts w:ascii="Times New Roman" w:hAnsi="Times New Roman"/>
          <w:sz w:val="24"/>
          <w:szCs w:val="24"/>
        </w:rPr>
        <w:t>-Сервис» (туристические услуги) - 18 человек.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«ДИСКАВЕРИ-Пено» относятся к категории «средние».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с 2020 года прекращает  свою деятельность на территории Пеновского района, в  </w:t>
      </w:r>
      <w:proofErr w:type="gramStart"/>
      <w:r w:rsidRPr="00EA3E75">
        <w:rPr>
          <w:rFonts w:ascii="Times New Roman" w:hAnsi="Times New Roman"/>
          <w:sz w:val="24"/>
          <w:szCs w:val="24"/>
        </w:rPr>
        <w:t>связи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с чем к 2021 году планируется сокращение численности на 55 человек с ФОТ 26,850 млн. рублей.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«ДИСКАВЕРИ-Пено» с 2020 года начинает реализацию инвестиционного проекта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 и планирует увеличение среднесписочной численности в 2020 – 25 чел.; 2021 чел. – 25 чел.; 2022 – 20 чел., 2023 – 15 чел.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База отдыха «Озерная» (туристические услуги) планирует увеличение  среднесписочной численности работников с 4 человек (2019 год) до 9 человек (2023г) в рамках основной деятельности.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Иных значительных изменений по среднесписочной численности предприятий (учреждений) района в прогнозируемом периоде 2021-2023 не планируется.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2018 году процент роста  ФОТ к уровню 2017 года составил 107,86, где бюджетная сфера составила 116,12 % (за счет стимулирующих выплат в сфере образования и культуры) и  внебюджетная сфера 101,04%.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Увеличение ФОТ  в 2018 году по 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A3E75">
        <w:rPr>
          <w:rFonts w:ascii="Times New Roman" w:hAnsi="Times New Roman"/>
          <w:sz w:val="24"/>
          <w:szCs w:val="24"/>
        </w:rPr>
        <w:t>Рунскому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сельскому поселению обусловлено уплатой задолженности прошлых лет юридическими лицами (ООО База отдыха «Озерная», ООО «Озерный рай»,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E75">
        <w:rPr>
          <w:rFonts w:ascii="Times New Roman" w:hAnsi="Times New Roman"/>
          <w:sz w:val="24"/>
          <w:szCs w:val="24"/>
        </w:rPr>
        <w:t>райпо</w:t>
      </w:r>
      <w:proofErr w:type="spellEnd"/>
      <w:r w:rsidRPr="00EA3E75">
        <w:rPr>
          <w:rFonts w:ascii="Times New Roman" w:hAnsi="Times New Roman"/>
          <w:sz w:val="24"/>
          <w:szCs w:val="24"/>
        </w:rPr>
        <w:t>).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2019 году происходит снижение общего ФОТ на 1,41 % к уровню 2018 года. Данное </w:t>
      </w:r>
      <w:r w:rsidRPr="00EA3E75">
        <w:rPr>
          <w:rFonts w:ascii="Times New Roman" w:hAnsi="Times New Roman"/>
          <w:sz w:val="24"/>
          <w:szCs w:val="24"/>
        </w:rPr>
        <w:lastRenderedPageBreak/>
        <w:t xml:space="preserve">снижение произошло по внебюджетной сфере и </w:t>
      </w:r>
      <w:proofErr w:type="spellStart"/>
      <w:r w:rsidRPr="00EA3E75">
        <w:rPr>
          <w:rFonts w:ascii="Times New Roman" w:hAnsi="Times New Roman"/>
          <w:sz w:val="24"/>
          <w:szCs w:val="24"/>
        </w:rPr>
        <w:t>сотавило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7,41 %, что обусловлено приостановкой деятельност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База отдыха «Озерная» и ООО «Озерный рай» (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поселение»), закрытием ООО «Лесоруб» (лесозаготовка) (</w:t>
      </w:r>
      <w:proofErr w:type="spellStart"/>
      <w:r w:rsidRPr="00EA3E75">
        <w:rPr>
          <w:rFonts w:ascii="Times New Roman" w:hAnsi="Times New Roman"/>
          <w:sz w:val="24"/>
          <w:szCs w:val="24"/>
        </w:rPr>
        <w:t>Рунское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поселение), снижением производства по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>» (Ворошиловское сельское поселение).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2020 году планируется так же снижение общего ФОТ к уровню 2019 года на 1 %.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Основанием является прекращение деятельности «среднего» предприятия район</w:t>
      </w:r>
      <w:proofErr w:type="gramStart"/>
      <w:r w:rsidRPr="00EA3E75">
        <w:rPr>
          <w:rFonts w:ascii="Times New Roman" w:hAnsi="Times New Roman"/>
          <w:sz w:val="24"/>
          <w:szCs w:val="24"/>
        </w:rPr>
        <w:t>а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с ФОТ 18,9 млн. рублей, а так же общей отрицательной тенденции в работе предприятий района, вызванной ограничительными мерами, в связи с пандемией COVID-19.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прогнозируемый период 2021-2023 планируется рост ФОТ в пределах 1-2 %. Во внебюджетной сфере рост ФОТ так же обусловлен реализацией ООО «ДИСКАВЕРИ-Пено» инвестиционного проекта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«Развитие отраслей  жизнеобеспечения и социальной сферы».</w:t>
      </w:r>
    </w:p>
    <w:p w:rsidR="00EA3E75" w:rsidRPr="00EA3E75" w:rsidRDefault="00EA3E75" w:rsidP="00EA3E75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Здравоохранение района имеет следующую структуру: больница (Стационар – 37 коек), поликлиника (120 посещений в смену), отделение паллиативной помощи (12 коек), отделение скорой помощи (2 круглосуточные бригады), 8 фельдшерско-акушерских пункта. Все население Пеновского района обслуживается 4 врачами общей практики.</w:t>
      </w:r>
    </w:p>
    <w:p w:rsidR="00EA3E75" w:rsidRPr="00EA3E75" w:rsidRDefault="00EA3E75" w:rsidP="00EA3E75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pacing w:val="-2"/>
          <w:sz w:val="24"/>
          <w:szCs w:val="24"/>
        </w:rPr>
        <w:tab/>
        <w:t xml:space="preserve">В систему образования района входит 8 </w:t>
      </w:r>
      <w:r w:rsidRPr="00EA3E75">
        <w:rPr>
          <w:rFonts w:ascii="Times New Roman" w:hAnsi="Times New Roman"/>
          <w:spacing w:val="-3"/>
          <w:sz w:val="24"/>
          <w:szCs w:val="24"/>
        </w:rPr>
        <w:t xml:space="preserve">образовательных   учреждений: 3 дошкольных образовательных учреждения - 222   детей, 5 общеобразовательных учреждений – 593 учащихся. </w:t>
      </w:r>
    </w:p>
    <w:p w:rsidR="00EA3E75" w:rsidRPr="00EA3E75" w:rsidRDefault="00EA3E75" w:rsidP="00EA3E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>Все муниципальные образовательные учреждения района имеют лицензии и действующие свидетельства о государственной аккредитации.</w:t>
      </w:r>
    </w:p>
    <w:p w:rsidR="00EA3E75" w:rsidRPr="00EA3E75" w:rsidRDefault="00EA3E75" w:rsidP="00EA3E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 xml:space="preserve">В районе работает 1 муниципальное  учреждение культуры досугового типа, в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.  8 филиалов  в сельских поселениях;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межпоселенческая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 – «Детская  школа искусств».</w:t>
      </w: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ab/>
        <w:t>Во всех образовательных учреждениях района в 2018-2019 учебном году воспитывались и обучались 882 человека, что составляет  14,8 % от общей численности жителей района.</w:t>
      </w: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484" w:rsidRPr="00EA3E75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484" w:rsidRPr="00EA3E75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18AC" w:rsidRPr="00EA3E75" w:rsidRDefault="008718AC" w:rsidP="008718A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18AC" w:rsidRPr="00EA3E75" w:rsidRDefault="008718AC" w:rsidP="008718AC">
      <w:pPr>
        <w:rPr>
          <w:rFonts w:ascii="Times New Roman" w:hAnsi="Times New Roman"/>
          <w:b/>
          <w:sz w:val="24"/>
          <w:szCs w:val="24"/>
        </w:rPr>
      </w:pPr>
    </w:p>
    <w:sectPr w:rsidR="008718AC" w:rsidRPr="00EA3E75" w:rsidSect="00554E2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20FB4"/>
    <w:rsid w:val="0004473E"/>
    <w:rsid w:val="00045484"/>
    <w:rsid w:val="00067853"/>
    <w:rsid w:val="000C3EF0"/>
    <w:rsid w:val="000F47C5"/>
    <w:rsid w:val="000F69BF"/>
    <w:rsid w:val="00103FFD"/>
    <w:rsid w:val="00111C5F"/>
    <w:rsid w:val="00126481"/>
    <w:rsid w:val="001600F1"/>
    <w:rsid w:val="00184C0E"/>
    <w:rsid w:val="00194372"/>
    <w:rsid w:val="001A437D"/>
    <w:rsid w:val="001A43D0"/>
    <w:rsid w:val="001A6220"/>
    <w:rsid w:val="001B3619"/>
    <w:rsid w:val="001B4144"/>
    <w:rsid w:val="001B7A04"/>
    <w:rsid w:val="001E14D8"/>
    <w:rsid w:val="001E1CB1"/>
    <w:rsid w:val="001E41CB"/>
    <w:rsid w:val="00204166"/>
    <w:rsid w:val="00204791"/>
    <w:rsid w:val="00204B33"/>
    <w:rsid w:val="00240FF4"/>
    <w:rsid w:val="00243BFD"/>
    <w:rsid w:val="00256F19"/>
    <w:rsid w:val="002668EA"/>
    <w:rsid w:val="002814AB"/>
    <w:rsid w:val="002B1B7B"/>
    <w:rsid w:val="002B63C9"/>
    <w:rsid w:val="002C0133"/>
    <w:rsid w:val="002D019B"/>
    <w:rsid w:val="002D491F"/>
    <w:rsid w:val="002D59B0"/>
    <w:rsid w:val="002E2E24"/>
    <w:rsid w:val="003107CB"/>
    <w:rsid w:val="003148DD"/>
    <w:rsid w:val="003251EB"/>
    <w:rsid w:val="00387F9D"/>
    <w:rsid w:val="003A52C0"/>
    <w:rsid w:val="003B096E"/>
    <w:rsid w:val="003B1A69"/>
    <w:rsid w:val="003E3A0E"/>
    <w:rsid w:val="003E703B"/>
    <w:rsid w:val="003F490D"/>
    <w:rsid w:val="00401A00"/>
    <w:rsid w:val="00431706"/>
    <w:rsid w:val="00460F04"/>
    <w:rsid w:val="0047194C"/>
    <w:rsid w:val="004971F4"/>
    <w:rsid w:val="004A5819"/>
    <w:rsid w:val="004B70AD"/>
    <w:rsid w:val="004D152D"/>
    <w:rsid w:val="004E1DDB"/>
    <w:rsid w:val="004F1277"/>
    <w:rsid w:val="004F3DDA"/>
    <w:rsid w:val="005422FF"/>
    <w:rsid w:val="005475E9"/>
    <w:rsid w:val="005531D3"/>
    <w:rsid w:val="00554E2A"/>
    <w:rsid w:val="005801F7"/>
    <w:rsid w:val="005C3B6B"/>
    <w:rsid w:val="005C6DD8"/>
    <w:rsid w:val="005D1536"/>
    <w:rsid w:val="005E32B2"/>
    <w:rsid w:val="00621A91"/>
    <w:rsid w:val="00643D91"/>
    <w:rsid w:val="00664EEB"/>
    <w:rsid w:val="00674A3C"/>
    <w:rsid w:val="00675282"/>
    <w:rsid w:val="00697C07"/>
    <w:rsid w:val="006A2B81"/>
    <w:rsid w:val="006B2CA3"/>
    <w:rsid w:val="006B3452"/>
    <w:rsid w:val="006B4C1C"/>
    <w:rsid w:val="006B6273"/>
    <w:rsid w:val="006C3796"/>
    <w:rsid w:val="006D4795"/>
    <w:rsid w:val="0070794D"/>
    <w:rsid w:val="007108AA"/>
    <w:rsid w:val="00725A9C"/>
    <w:rsid w:val="00742E94"/>
    <w:rsid w:val="007505A7"/>
    <w:rsid w:val="00763696"/>
    <w:rsid w:val="007A4781"/>
    <w:rsid w:val="007B0EC5"/>
    <w:rsid w:val="007B6CC5"/>
    <w:rsid w:val="007C0E58"/>
    <w:rsid w:val="007C1AC5"/>
    <w:rsid w:val="007C33B8"/>
    <w:rsid w:val="007D5427"/>
    <w:rsid w:val="00804F59"/>
    <w:rsid w:val="00810629"/>
    <w:rsid w:val="008179B3"/>
    <w:rsid w:val="00824FF6"/>
    <w:rsid w:val="00842ED5"/>
    <w:rsid w:val="0085563C"/>
    <w:rsid w:val="008718AC"/>
    <w:rsid w:val="008803F1"/>
    <w:rsid w:val="00887DA5"/>
    <w:rsid w:val="00895A41"/>
    <w:rsid w:val="008970C7"/>
    <w:rsid w:val="0090559C"/>
    <w:rsid w:val="00910C3A"/>
    <w:rsid w:val="0092710A"/>
    <w:rsid w:val="00935715"/>
    <w:rsid w:val="00947D34"/>
    <w:rsid w:val="0097794F"/>
    <w:rsid w:val="009864F8"/>
    <w:rsid w:val="009918E7"/>
    <w:rsid w:val="009A4E45"/>
    <w:rsid w:val="00A24460"/>
    <w:rsid w:val="00A5275E"/>
    <w:rsid w:val="00A73291"/>
    <w:rsid w:val="00A76055"/>
    <w:rsid w:val="00A9562F"/>
    <w:rsid w:val="00A965FC"/>
    <w:rsid w:val="00A97BD0"/>
    <w:rsid w:val="00AA1F24"/>
    <w:rsid w:val="00AE686C"/>
    <w:rsid w:val="00B04AA4"/>
    <w:rsid w:val="00B16F0A"/>
    <w:rsid w:val="00B31C7D"/>
    <w:rsid w:val="00B4537C"/>
    <w:rsid w:val="00B709D8"/>
    <w:rsid w:val="00B8352C"/>
    <w:rsid w:val="00B92F91"/>
    <w:rsid w:val="00BA0CA9"/>
    <w:rsid w:val="00BB1502"/>
    <w:rsid w:val="00BC225D"/>
    <w:rsid w:val="00BC5C38"/>
    <w:rsid w:val="00BD2102"/>
    <w:rsid w:val="00BD620E"/>
    <w:rsid w:val="00BE0637"/>
    <w:rsid w:val="00BE2F3F"/>
    <w:rsid w:val="00BF13F2"/>
    <w:rsid w:val="00C2137A"/>
    <w:rsid w:val="00C27161"/>
    <w:rsid w:val="00C61551"/>
    <w:rsid w:val="00C63752"/>
    <w:rsid w:val="00C65166"/>
    <w:rsid w:val="00C71D5D"/>
    <w:rsid w:val="00C7697E"/>
    <w:rsid w:val="00CB3BA9"/>
    <w:rsid w:val="00CC4757"/>
    <w:rsid w:val="00CD5B1F"/>
    <w:rsid w:val="00CE32E6"/>
    <w:rsid w:val="00CF235A"/>
    <w:rsid w:val="00D258A6"/>
    <w:rsid w:val="00D25EB5"/>
    <w:rsid w:val="00D32599"/>
    <w:rsid w:val="00D328B7"/>
    <w:rsid w:val="00D32EC4"/>
    <w:rsid w:val="00D3646F"/>
    <w:rsid w:val="00D54729"/>
    <w:rsid w:val="00D57EDE"/>
    <w:rsid w:val="00D63C07"/>
    <w:rsid w:val="00D71F4F"/>
    <w:rsid w:val="00D947CE"/>
    <w:rsid w:val="00DA368A"/>
    <w:rsid w:val="00DA7A5A"/>
    <w:rsid w:val="00DB0FC5"/>
    <w:rsid w:val="00DC624E"/>
    <w:rsid w:val="00DC7DBC"/>
    <w:rsid w:val="00DD1CA7"/>
    <w:rsid w:val="00DD52DA"/>
    <w:rsid w:val="00E03C90"/>
    <w:rsid w:val="00E10685"/>
    <w:rsid w:val="00E15AA6"/>
    <w:rsid w:val="00E1748A"/>
    <w:rsid w:val="00E3193D"/>
    <w:rsid w:val="00E8036D"/>
    <w:rsid w:val="00EA3E75"/>
    <w:rsid w:val="00EA45C5"/>
    <w:rsid w:val="00EE77AD"/>
    <w:rsid w:val="00F132F5"/>
    <w:rsid w:val="00F204A8"/>
    <w:rsid w:val="00F220BF"/>
    <w:rsid w:val="00F40D81"/>
    <w:rsid w:val="00F71245"/>
    <w:rsid w:val="00F71D82"/>
    <w:rsid w:val="00F761D6"/>
    <w:rsid w:val="00F8461D"/>
    <w:rsid w:val="00F92503"/>
    <w:rsid w:val="00FA2AD4"/>
    <w:rsid w:val="00FB1FE1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12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135</cp:revision>
  <cp:lastPrinted>2019-10-17T12:51:00Z</cp:lastPrinted>
  <dcterms:created xsi:type="dcterms:W3CDTF">2017-10-16T08:40:00Z</dcterms:created>
  <dcterms:modified xsi:type="dcterms:W3CDTF">2020-10-23T06:55:00Z</dcterms:modified>
</cp:coreProperties>
</file>